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napToGrid w:val="0"/>
      </w:pPr>
      <w:r>
        <w:t>酒池肉林内部联赛</w:t>
      </w:r>
    </w:p>
    <w:p>
      <w:pPr>
        <w:pStyle w:val="Subtitle"/>
        <w:snapToGrid w:val="0"/>
      </w:pPr>
      <w:r>
        <w:t>第一赛季比赛方案</w:t>
      </w:r>
    </w:p>
    <w:p>
      <w:pPr>
        <w:snapToGrid w:val="0"/>
      </w:pPr>
      <w:r>
        <w:t>2026年10月10日至11月28日  每周六19时30分</w:t>
      </w:r>
    </w:p>
    <w:p>
      <w:pPr>
        <w:snapToGrid w:val="0"/>
      </w:pPr>
      <w:r>
        <w:t>本联赛面向酒池肉林门派成员，以固定比赛、赛后交流和每周排名增强成员互动。第一赛季采用个人积分制，预计40至50人参赛，最终人数按网站报名审核结果确定。全赛季不实行中途竞技淘汰，每人安排6场正式计分赛及2周轮休。</w:t>
      </w:r>
    </w:p>
    <w:p>
      <w:pPr>
        <w:pStyle w:val="Heading2"/>
        <w:snapToGrid w:val="0"/>
      </w:pPr>
      <w:r>
        <w:t>赛季安排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8208"/>
      </w:tblGrid>
      <w:tr>
        <w:trPr>
          <w:tblHeader/>
          <w:cantSplit/>
        </w:trPr>
        <w:tc>
          <w:tcPr>
            <w:tcW w:type="dxa" w:w="1728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8208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执行方案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比赛平台</w:t>
            </w:r>
          </w:p>
        </w:tc>
        <w:tc>
          <w:tcPr>
            <w:tcW w:type="dxa" w:w="820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网易狼人杀门派房，按12人局组织；具体板子和房间由主办方赛前公布。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周期与场次</w:t>
            </w:r>
          </w:p>
        </w:tc>
        <w:tc>
          <w:tcPr>
            <w:tcW w:type="dxa" w:w="820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8个比赛周；每人6场正式计分、2周轮休；每周最多1场正式计分赛。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每周时间</w:t>
            </w:r>
          </w:p>
        </w:tc>
        <w:tc>
          <w:tcPr>
            <w:tcW w:type="dxa" w:w="820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周六19:15签到，19:30开赛；迟到替补安排由房主按赛前名单执行。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积分依据</w:t>
            </w:r>
          </w:p>
        </w:tc>
        <w:tc>
          <w:tcPr>
            <w:tcW w:type="dxa" w:w="820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6场游戏结算页面个人评分全部累计，再减去全部有效纪律扣分。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报名入口</w:t>
            </w:r>
          </w:p>
        </w:tc>
        <w:tc>
          <w:tcPr>
            <w:tcW w:type="dxa" w:w="820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https://www.123616.top/?page=league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奖金资格</w:t>
            </w:r>
          </w:p>
        </w:tc>
        <w:tc>
          <w:tcPr>
            <w:tcW w:type="dxa" w:w="820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须完成6场有效正式比赛，且未被取消争奖资格。</w:t>
            </w:r>
          </w:p>
        </w:tc>
      </w:tr>
    </w:tbl>
    <w:p>
      <w:pPr>
        <w:spacing w:after="40" w:line="60" w:lineRule="exact" w:before="0"/>
        <w:snapToGrid w:val="0"/>
      </w:pPr>
    </w:p>
    <w:p>
      <w:pPr>
        <w:pStyle w:val="Heading2"/>
        <w:snapToGrid w:val="0"/>
      </w:pPr>
      <w:r>
        <w:t>奖励设置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52"/>
        <w:gridCol w:w="1483"/>
        <w:gridCol w:w="1483"/>
        <w:gridCol w:w="1454"/>
        <w:gridCol w:w="1454"/>
        <w:gridCol w:w="1454"/>
        <w:gridCol w:w="1454"/>
      </w:tblGrid>
      <w:tr>
        <w:trPr>
          <w:tblHeader/>
          <w:cantSplit/>
        </w:trPr>
        <w:tc>
          <w:tcPr>
            <w:tcW w:type="dxa" w:w="1152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b/>
                <w:color w:val="FFFFFF"/>
                <w:sz w:val="21"/>
              </w:rPr>
              <w:t>名次</w:t>
            </w:r>
          </w:p>
        </w:tc>
        <w:tc>
          <w:tcPr>
            <w:tcW w:type="dxa" w:w="1483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冠军</w:t>
            </w:r>
          </w:p>
        </w:tc>
        <w:tc>
          <w:tcPr>
            <w:tcW w:type="dxa" w:w="1483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亚军</w:t>
            </w:r>
          </w:p>
        </w:tc>
        <w:tc>
          <w:tcPr>
            <w:tcW w:type="dxa" w:w="1454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季军</w:t>
            </w:r>
          </w:p>
        </w:tc>
        <w:tc>
          <w:tcPr>
            <w:tcW w:type="dxa" w:w="1454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第四名</w:t>
            </w:r>
          </w:p>
        </w:tc>
        <w:tc>
          <w:tcPr>
            <w:tcW w:type="dxa" w:w="1454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第五名</w:t>
            </w:r>
          </w:p>
        </w:tc>
        <w:tc>
          <w:tcPr>
            <w:tcW w:type="dxa" w:w="1454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第六名</w:t>
            </w:r>
          </w:p>
        </w:tc>
      </w:tr>
      <w:tr>
        <w:trPr>
          <w:cantSplit/>
        </w:trPr>
        <w:tc>
          <w:tcPr>
            <w:tcW w:type="dxa" w:w="1152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奖金</w:t>
            </w:r>
          </w:p>
        </w:tc>
        <w:tc>
          <w:tcPr>
            <w:tcW w:type="dxa" w:w="1483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500元</w:t>
            </w:r>
          </w:p>
        </w:tc>
        <w:tc>
          <w:tcPr>
            <w:tcW w:type="dxa" w:w="1483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300元</w:t>
            </w:r>
          </w:p>
        </w:tc>
        <w:tc>
          <w:tcPr>
            <w:tcW w:type="dxa" w:w="145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100元</w:t>
            </w:r>
          </w:p>
        </w:tc>
        <w:tc>
          <w:tcPr>
            <w:tcW w:type="dxa" w:w="145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50元</w:t>
            </w:r>
          </w:p>
        </w:tc>
        <w:tc>
          <w:tcPr>
            <w:tcW w:type="dxa" w:w="145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50元</w:t>
            </w:r>
          </w:p>
        </w:tc>
        <w:tc>
          <w:tcPr>
            <w:tcW w:type="dxa" w:w="145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50元</w:t>
            </w:r>
          </w:p>
        </w:tc>
      </w:tr>
    </w:tbl>
    <w:p>
      <w:pPr>
        <w:spacing w:after="40" w:line="60" w:lineRule="exact" w:before="0"/>
        <w:snapToGrid w:val="0"/>
      </w:pPr>
    </w:p>
    <w:p>
      <w:pPr>
        <w:snapToGrid w:val="0"/>
      </w:pPr>
      <w:r>
        <w:t>奖金总额1,050元。免费报名，由主办方落实奖金。最终榜单及申诉处理完成后3个工作日内发放；并列名次按本方案的同分规则分配。全勤、进步之星等荣誉可另行展示，不增加竞技积分或未经公告的奖金。</w:t>
      </w:r>
    </w:p>
    <w:p>
      <w:pPr>
        <w:pStyle w:val="Heading1"/>
        <w:pageBreakBefore/>
        <w:snapToGrid w:val="0"/>
      </w:pPr>
      <w:r>
        <w:t>报名与成员管理</w:t>
      </w:r>
    </w:p>
    <w:p>
      <w:pPr>
        <w:pStyle w:val="Heading2"/>
        <w:snapToGrid w:val="0"/>
      </w:pPr>
      <w:r>
        <w:t>网站报名流程</w:t>
      </w:r>
    </w:p>
    <w:p>
      <w:pPr>
        <w:snapToGrid w:val="0"/>
      </w:pPr>
      <w:r>
        <w:t>成员进入门派网站的“内部联赛”板块，先注册网站账号；已有账号直接登录。注册或登录后返回联赛页，填写本人游戏名和游戏UID，阅读参赛规则并勾选确认，提交报名。</w:t>
      </w:r>
    </w:p>
    <w:p>
      <w:pPr>
        <w:snapToGrid w:val="0"/>
      </w:pPr>
      <w:r>
        <w:t>报名提交后显示“待审核”。管理员核对门派成员身份及UID后确认参赛；审核未通过时说明原因，成员可在报名开放期修正资料后重新提交。已确认的游戏身份需由管理员协调处理，不允许自行更换账号参赛。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8208"/>
      </w:tblGrid>
      <w:tr>
        <w:trPr>
          <w:tblHeader/>
          <w:cantSplit/>
        </w:trPr>
        <w:tc>
          <w:tcPr>
            <w:tcW w:type="dxa" w:w="1728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b/>
                <w:color w:val="FFFFFF"/>
                <w:sz w:val="21"/>
              </w:rPr>
              <w:t>事项</w:t>
            </w:r>
          </w:p>
        </w:tc>
        <w:tc>
          <w:tcPr>
            <w:tcW w:type="dxa" w:w="8208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规则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身份关联</w:t>
            </w:r>
          </w:p>
        </w:tc>
        <w:tc>
          <w:tcPr>
            <w:tcW w:type="dxa" w:w="820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网站账号关联本赛季报名记录，以游戏UID查重；每人一账号、一UID参赛。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信息用途</w:t>
            </w:r>
          </w:p>
        </w:tc>
        <w:tc>
          <w:tcPr>
            <w:tcW w:type="dxa" w:w="820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游戏名用于赛程与公开榜单；完整UID仅报名本人和管理员可见，用于身份核对。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报名信息</w:t>
            </w:r>
          </w:p>
        </w:tc>
        <w:tc>
          <w:tcPr>
            <w:tcW w:type="dxa" w:w="820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必填游戏名与数字UID；网站登录密码与游戏密码无关，不收集游戏密码。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人数管理</w:t>
            </w:r>
          </w:p>
        </w:tc>
        <w:tc>
          <w:tcPr>
            <w:tcW w:type="dxa" w:w="820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预计40至50人，最终参赛人数按审核确认结果确定。超出组织容量者由主办方协调候补。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截止时间</w:t>
            </w:r>
          </w:p>
        </w:tc>
        <w:tc>
          <w:tcPr>
            <w:tcW w:type="dxa" w:w="820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2026年9月30日23:59，管理员可提前公告延期并在网站更新截止时间。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赛事沟通</w:t>
            </w:r>
          </w:p>
        </w:tc>
        <w:tc>
          <w:tcPr>
            <w:tcW w:type="dxa" w:w="820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报名后关注门派赛事群及网站通知，及时确认签到、分房、请假和申诉信息。</w:t>
            </w:r>
          </w:p>
        </w:tc>
      </w:tr>
    </w:tbl>
    <w:p>
      <w:pPr>
        <w:spacing w:after="40" w:line="60" w:lineRule="exact" w:before="0"/>
        <w:snapToGrid w:val="0"/>
      </w:pPr>
    </w:p>
    <w:p>
      <w:pPr>
        <w:pStyle w:val="Heading2"/>
        <w:snapToGrid w:val="0"/>
      </w:pPr>
      <w:r>
        <w:t>赛前准备</w:t>
      </w:r>
    </w:p>
    <w:p>
      <w:pPr>
        <w:snapToGrid w:val="0"/>
      </w:pPr>
      <w:r>
        <w:t>9月30日前完成报名与身份核对；10月3日前公布统一板子、最终参赛名单、执裁口径及每人的8周正式参赛和轮休安排；10月9日公布首轮分房和房主名单。</w:t>
      </w:r>
    </w:p>
    <w:p>
      <w:pPr>
        <w:snapToGrid w:val="0"/>
      </w:pPr>
      <w:r>
        <w:t>主办方在开赛前落实各房房主、裁判及陪赛人员，安排一次语音与录屏检查。房主负责组织比赛和采集结果，不能代替存在利益冲突的裁判作出最终判罚。</w:t>
      </w:r>
    </w:p>
    <w:p>
      <w:pPr>
        <w:pStyle w:val="Heading2"/>
        <w:snapToGrid w:val="0"/>
      </w:pPr>
      <w:r>
        <w:t>参赛承诺</w:t>
      </w:r>
    </w:p>
    <w:p>
      <w:pPr>
        <w:snapToGrid w:val="0"/>
      </w:pPr>
      <w:r>
        <w:t>选手使用本人账号参赛，不代打、不通身份、不接受场外指导；尊重同桌选手和工作人员。轮休成员可自愿陪赛，陪赛场次不计入其6场游戏评分，但有效纪律处罚仍计入赛季总扣分。</w:t>
      </w:r>
    </w:p>
    <w:p>
      <w:pPr>
        <w:pStyle w:val="Heading1"/>
        <w:pageBreakBefore/>
        <w:snapToGrid w:val="0"/>
      </w:pPr>
      <w:r>
        <w:t>八周赛程与轮休安排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84"/>
        <w:gridCol w:w="4608"/>
        <w:gridCol w:w="3744"/>
      </w:tblGrid>
      <w:tr>
        <w:trPr>
          <w:tblHeader/>
          <w:cantSplit/>
        </w:trPr>
        <w:tc>
          <w:tcPr>
            <w:tcW w:type="dxa" w:w="1584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b/>
                <w:color w:val="FFFFFF"/>
                <w:sz w:val="21"/>
              </w:rPr>
              <w:t>周次</w:t>
            </w:r>
          </w:p>
        </w:tc>
        <w:tc>
          <w:tcPr>
            <w:tcW w:type="dxa" w:w="4608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比赛日期</w:t>
            </w:r>
          </w:p>
        </w:tc>
        <w:tc>
          <w:tcPr>
            <w:tcW w:type="dxa" w:w="3744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开赛时间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第1周</w:t>
            </w:r>
          </w:p>
        </w:tc>
        <w:tc>
          <w:tcPr>
            <w:tcW w:type="dxa" w:w="460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10月10日</w:t>
            </w:r>
          </w:p>
        </w:tc>
        <w:tc>
          <w:tcPr>
            <w:tcW w:type="dxa" w:w="374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周六19:30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第2周</w:t>
            </w:r>
          </w:p>
        </w:tc>
        <w:tc>
          <w:tcPr>
            <w:tcW w:type="dxa" w:w="460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10月17日</w:t>
            </w:r>
          </w:p>
        </w:tc>
        <w:tc>
          <w:tcPr>
            <w:tcW w:type="dxa" w:w="374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周六19:30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第3周</w:t>
            </w:r>
          </w:p>
        </w:tc>
        <w:tc>
          <w:tcPr>
            <w:tcW w:type="dxa" w:w="460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10月24日</w:t>
            </w:r>
          </w:p>
        </w:tc>
        <w:tc>
          <w:tcPr>
            <w:tcW w:type="dxa" w:w="374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周六19:30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第4周</w:t>
            </w:r>
          </w:p>
        </w:tc>
        <w:tc>
          <w:tcPr>
            <w:tcW w:type="dxa" w:w="460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10月31日</w:t>
            </w:r>
          </w:p>
        </w:tc>
        <w:tc>
          <w:tcPr>
            <w:tcW w:type="dxa" w:w="374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周六19:30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第5周</w:t>
            </w:r>
          </w:p>
        </w:tc>
        <w:tc>
          <w:tcPr>
            <w:tcW w:type="dxa" w:w="460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11月7日</w:t>
            </w:r>
          </w:p>
        </w:tc>
        <w:tc>
          <w:tcPr>
            <w:tcW w:type="dxa" w:w="374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周六19:30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第6周</w:t>
            </w:r>
          </w:p>
        </w:tc>
        <w:tc>
          <w:tcPr>
            <w:tcW w:type="dxa" w:w="460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11月14日</w:t>
            </w:r>
          </w:p>
        </w:tc>
        <w:tc>
          <w:tcPr>
            <w:tcW w:type="dxa" w:w="374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周六19:30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第7周</w:t>
            </w:r>
          </w:p>
        </w:tc>
        <w:tc>
          <w:tcPr>
            <w:tcW w:type="dxa" w:w="4608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11月21日</w:t>
            </w:r>
          </w:p>
        </w:tc>
        <w:tc>
          <w:tcPr>
            <w:tcW w:type="dxa" w:w="374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周六19:30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第8周</w:t>
            </w:r>
          </w:p>
        </w:tc>
        <w:tc>
          <w:tcPr>
            <w:tcW w:type="dxa" w:w="4608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11月28日</w:t>
            </w:r>
          </w:p>
        </w:tc>
        <w:tc>
          <w:tcPr>
            <w:tcW w:type="dxa" w:w="374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周六19:30</w:t>
            </w:r>
          </w:p>
        </w:tc>
      </w:tr>
    </w:tbl>
    <w:p>
      <w:pPr>
        <w:spacing w:after="40" w:line="60" w:lineRule="exact" w:before="0"/>
        <w:snapToGrid w:val="0"/>
      </w:pPr>
    </w:p>
    <w:p>
      <w:pPr>
        <w:snapToGrid w:val="0"/>
      </w:pPr>
      <w:r>
        <w:t>以上日期均为2026年。12月5日预留为补赛日，仅在有未完成正式场次或流局重赛时启用。若仍有主办方原因导致的未完成场次，应先公告补赛安排，再确定赛季最终排名。</w:t>
      </w:r>
    </w:p>
    <w:p>
      <w:pPr>
        <w:pStyle w:val="Heading2"/>
        <w:snapToGrid w:val="0"/>
      </w:pPr>
      <w:r>
        <w:t>排期原则</w:t>
      </w:r>
    </w:p>
    <w:p>
      <w:pPr>
        <w:snapToGrid w:val="0"/>
      </w:pPr>
      <w:r>
        <w:t>每位选手提前确定6个正式参赛周和2个轮休周，尽量避免连续两周轮休。正式计分或陪赛身份在开局前锁定，禁止赛后根据分数选择是否计入。每周分房尽量平衡实力并减少反复同桌，具体名单于周五公布。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40"/>
        <w:gridCol w:w="2016"/>
        <w:gridCol w:w="6480"/>
      </w:tblGrid>
      <w:tr>
        <w:trPr>
          <w:tblHeader/>
          <w:cantSplit/>
        </w:trPr>
        <w:tc>
          <w:tcPr>
            <w:tcW w:type="dxa" w:w="1440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b/>
                <w:color w:val="FFFFFF"/>
                <w:sz w:val="21"/>
              </w:rPr>
              <w:t>确认人数</w:t>
            </w:r>
          </w:p>
        </w:tc>
        <w:tc>
          <w:tcPr>
            <w:tcW w:type="dxa" w:w="2016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正式参赛总人次</w:t>
            </w:r>
          </w:p>
        </w:tc>
        <w:tc>
          <w:tcPr>
            <w:tcW w:type="dxa" w:w="6480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每周组织参考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40人</w:t>
            </w:r>
          </w:p>
        </w:tc>
        <w:tc>
          <w:tcPr>
            <w:tcW w:type="dxa" w:w="2016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240</w:t>
            </w:r>
          </w:p>
        </w:tc>
        <w:tc>
          <w:tcPr>
            <w:tcW w:type="dxa" w:w="648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每周30名正式选手，可按3桌组织，另需6名陪赛。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48人</w:t>
            </w:r>
          </w:p>
        </w:tc>
        <w:tc>
          <w:tcPr>
            <w:tcW w:type="dxa" w:w="2016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288</w:t>
            </w:r>
          </w:p>
        </w:tc>
        <w:tc>
          <w:tcPr>
            <w:tcW w:type="dxa" w:w="6480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每周36名正式选手，按3桌组织。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50人</w:t>
            </w:r>
          </w:p>
        </w:tc>
        <w:tc>
          <w:tcPr>
            <w:tcW w:type="dxa" w:w="2016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300</w:t>
            </w:r>
          </w:p>
        </w:tc>
        <w:tc>
          <w:tcPr>
            <w:tcW w:type="dxa" w:w="648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例如4周36人、4周39人；后4周需4桌并补齐陪赛。</w:t>
            </w:r>
          </w:p>
        </w:tc>
      </w:tr>
    </w:tbl>
    <w:p>
      <w:pPr>
        <w:spacing w:after="40" w:line="60" w:lineRule="exact" w:before="0"/>
        <w:snapToGrid w:val="0"/>
      </w:pPr>
    </w:p>
    <w:p>
      <w:pPr>
        <w:snapToGrid w:val="0"/>
      </w:pPr>
      <w:r>
        <w:t>上述为容量示例，不能代替逐人排表。管理员须逐人核验6场与2周轮休，并逐周核对正式人数、陪赛人数、房间容量和工作人员；49至50人报名时，不能只按每周3桌排满整个赛季。</w:t>
      </w:r>
    </w:p>
    <w:p>
      <w:pPr>
        <w:pStyle w:val="Heading2"/>
        <w:snapToGrid w:val="0"/>
      </w:pPr>
      <w:r>
        <w:t>请假与补位</w:t>
      </w:r>
    </w:p>
    <w:p>
      <w:pPr>
        <w:snapToGrid w:val="0"/>
      </w:pPr>
      <w:r>
        <w:t>选手提前申请请假，可由主办方协调将正式周与本人尚未进行的轮休周调换，调整后仍须满足6场正式比赛且每周最多计分1场。无法调换的，安排补赛。缺席不得以0分算作已完成场次。</w:t>
      </w:r>
    </w:p>
    <w:p>
      <w:pPr>
        <w:snapToGrid w:val="0"/>
      </w:pPr>
      <w:r>
        <w:t>无故缺席首次警告，第二次转为候补；已完成成绩保留。已有有效成绩的周次不得改成轮休。未完成6场者不参与奖金评选，因主办方排期造成的场次不足须优先提供补赛机会。</w:t>
      </w:r>
    </w:p>
    <w:p>
      <w:pPr>
        <w:pStyle w:val="Heading1"/>
        <w:pageBreakBefore/>
        <w:snapToGrid w:val="0"/>
      </w:pPr>
      <w:r>
        <w:t>积分计算与排名公布</w:t>
      </w:r>
    </w:p>
    <w:p>
      <w:pPr>
        <w:pStyle w:val="Heading2"/>
        <w:snapToGrid w:val="0"/>
      </w:pPr>
      <w:r>
        <w:t>游戏评分与纪律扣分</w:t>
      </w:r>
    </w:p>
    <w:p>
      <w:pPr>
        <w:snapToGrid w:val="0"/>
      </w:pPr>
      <w:r>
        <w:t>当局联赛积分＝游戏结算页面个人评分－该局有效纪律扣分。赛季总积分＝6场有效正式比赛的游戏评分之和－全部有效纪律扣分。保留小数和负数，不取最好6局，不加参与分，不以点赞或人工MVP另行加分。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56"/>
        <w:gridCol w:w="2160"/>
        <w:gridCol w:w="2160"/>
        <w:gridCol w:w="2160"/>
      </w:tblGrid>
      <w:tr>
        <w:trPr>
          <w:tblHeader/>
          <w:cantSplit/>
        </w:trPr>
        <w:tc>
          <w:tcPr>
            <w:tcW w:type="dxa" w:w="3456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b/>
                <w:color w:val="FFFFFF"/>
                <w:sz w:val="21"/>
              </w:rPr>
              <w:t>情形</w:t>
            </w:r>
          </w:p>
        </w:tc>
        <w:tc>
          <w:tcPr>
            <w:tcW w:type="dxa" w:w="2160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游戏评分</w:t>
            </w:r>
          </w:p>
        </w:tc>
        <w:tc>
          <w:tcPr>
            <w:tcW w:type="dxa" w:w="2160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违规扣分</w:t>
            </w:r>
          </w:p>
        </w:tc>
        <w:tc>
          <w:tcPr>
            <w:tcW w:type="dxa" w:w="2160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当局积分</w:t>
            </w:r>
          </w:p>
        </w:tc>
      </w:tr>
      <w:tr>
        <w:trPr>
          <w:cantSplit/>
        </w:trPr>
        <w:tc>
          <w:tcPr>
            <w:tcW w:type="dxa" w:w="3456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正常获胜示例</w:t>
            </w:r>
          </w:p>
        </w:tc>
        <w:tc>
          <w:tcPr>
            <w:tcW w:type="dxa" w:w="216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5.5</w:t>
            </w:r>
          </w:p>
        </w:tc>
        <w:tc>
          <w:tcPr>
            <w:tcW w:type="dxa" w:w="216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0</w:t>
            </w:r>
          </w:p>
        </w:tc>
        <w:tc>
          <w:tcPr>
            <w:tcW w:type="dxa" w:w="216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5.5</w:t>
            </w:r>
          </w:p>
        </w:tc>
      </w:tr>
      <w:tr>
        <w:trPr>
          <w:cantSplit/>
        </w:trPr>
        <w:tc>
          <w:tcPr>
            <w:tcW w:type="dxa" w:w="3456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有处罚示例</w:t>
            </w:r>
          </w:p>
        </w:tc>
        <w:tc>
          <w:tcPr>
            <w:tcW w:type="dxa" w:w="2160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4.5</w:t>
            </w:r>
          </w:p>
        </w:tc>
        <w:tc>
          <w:tcPr>
            <w:tcW w:type="dxa" w:w="2160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0.5</w:t>
            </w:r>
          </w:p>
        </w:tc>
        <w:tc>
          <w:tcPr>
            <w:tcW w:type="dxa" w:w="2160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4</w:t>
            </w:r>
          </w:p>
        </w:tc>
      </w:tr>
      <w:tr>
        <w:trPr>
          <w:cantSplit/>
        </w:trPr>
        <w:tc>
          <w:tcPr>
            <w:tcW w:type="dxa" w:w="3456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失败并违规示例</w:t>
            </w:r>
          </w:p>
        </w:tc>
        <w:tc>
          <w:tcPr>
            <w:tcW w:type="dxa" w:w="216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-3</w:t>
            </w:r>
          </w:p>
        </w:tc>
        <w:tc>
          <w:tcPr>
            <w:tcW w:type="dxa" w:w="216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2</w:t>
            </w:r>
          </w:p>
        </w:tc>
        <w:tc>
          <w:tcPr>
            <w:tcW w:type="dxa" w:w="216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-5</w:t>
            </w:r>
          </w:p>
        </w:tc>
      </w:tr>
    </w:tbl>
    <w:p>
      <w:pPr>
        <w:spacing w:after="40" w:line="60" w:lineRule="exact" w:before="0"/>
        <w:snapToGrid w:val="0"/>
      </w:pPr>
    </w:p>
    <w:p>
      <w:pPr>
        <w:snapToGrid w:val="0"/>
      </w:pPr>
      <w:r>
        <w:t>以结算卡片上的“评分”为准，不使用卡片点赞数或另一个页面的段位积分。房主提交无遮挡完整结算截图；看不清的分数必须补证，不按阵营输赢猜测个人分数。</w:t>
      </w:r>
    </w:p>
    <w:p>
      <w:pPr>
        <w:pStyle w:val="Heading2"/>
        <w:snapToGrid w:val="0"/>
      </w:pPr>
      <w:r>
        <w:t>同分与奖金资格</w:t>
      </w:r>
    </w:p>
    <w:p>
      <w:pPr>
        <w:snapToGrid w:val="0"/>
      </w:pPr>
      <w:r>
        <w:t>按赛季总积分从高到低排名；总积分相同，比较有效正式胜场；仍相同则并列名次。完成6场且未取消争奖资格者进入最终奖金排名，未满6场者仅保留成绩展示。由于评奖者均为6场，胜率与胜场的比较顺序等价。</w:t>
      </w:r>
    </w:p>
    <w:p>
      <w:pPr>
        <w:snapToGrid w:val="0"/>
      </w:pPr>
      <w:r>
        <w:t>并列选手共同占据对应名次，均分所占位置的奖金。例如两人并列第二，共享第二、第三名奖金，每人200元。并列跨过第六名时，第七名及以后按0元计入该组奖金池，再均分。</w:t>
      </w:r>
    </w:p>
    <w:p>
      <w:pPr>
        <w:pStyle w:val="Heading2"/>
        <w:snapToGrid w:val="0"/>
      </w:pPr>
      <w:r>
        <w:t>每周榜单</w:t>
      </w:r>
    </w:p>
    <w:p>
      <w:pPr>
        <w:snapToGrid w:val="0"/>
      </w:pPr>
      <w:r>
        <w:t>网站提供“截至第几周”的累计排名、正式场次、胜场、游戏评分合计、纪律扣分和累计积分，并展示与前一周的名次变化。不同场次的赛中榜单均为暂定排名。未开赛者不生成名次，不填充虚构成绩。</w:t>
      </w:r>
    </w:p>
    <w:p>
      <w:pPr>
        <w:snapToGrid w:val="0"/>
      </w:pPr>
      <w:r>
        <w:t>点击选手游戏名，可查看每周成绩与处罚说明。待确认成绩不计入公开总分，正式发布后自动累计；作废成绩不计入游戏评分，其独立的有效处罚仍保留。历史周次榜单使用当前已复核的对应周记录，申诉修正后会同步重算。</w:t>
      </w:r>
    </w:p>
    <w:p>
      <w:pPr>
        <w:pStyle w:val="Heading2"/>
        <w:snapToGrid w:val="0"/>
      </w:pPr>
      <w:r>
        <w:t>流局与重赛</w:t>
      </w:r>
    </w:p>
    <w:p>
      <w:pPr>
        <w:snapToGrid w:val="0"/>
      </w:pPr>
      <w:r>
        <w:t>流局原局游戏评分作废，已确认的违规处罚保留。重赛成绩关联原正式周，不另占一场正式机会。同一周只保留一个有效成绩版本；原局及重赛的处罚必须分局说明，防止漏扣和重复扣分。</w:t>
      </w:r>
    </w:p>
    <w:p>
      <w:pPr>
        <w:pStyle w:val="Heading1"/>
        <w:pageBreakBefore/>
        <w:snapToGrid w:val="0"/>
      </w:pPr>
      <w:r>
        <w:t>发言行为规范与判罚口径</w:t>
      </w:r>
    </w:p>
    <w:p>
      <w:pPr>
        <w:snapToGrid w:val="0"/>
      </w:pPr>
      <w:r>
        <w:t>采用成员提供的《Home狼人杀发言行为规范1.0》作为执裁基础，并执行本方案的联赛适配说明。下表为摘要，具体定义、发言时长条件、豁免及情节认定以完整规范与赛前公布口径为准。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2"/>
        <w:gridCol w:w="7344"/>
      </w:tblGrid>
      <w:tr>
        <w:trPr>
          <w:tblHeader/>
          <w:cantSplit/>
        </w:trPr>
        <w:tc>
          <w:tcPr>
            <w:tcW w:type="dxa" w:w="2592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b/>
                <w:color w:val="FFFFFF"/>
                <w:sz w:val="21"/>
              </w:rPr>
              <w:t>类型</w:t>
            </w:r>
          </w:p>
        </w:tc>
        <w:tc>
          <w:tcPr>
            <w:tcW w:type="dxa" w:w="7344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通常判罚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擦边</w:t>
            </w:r>
          </w:p>
        </w:tc>
        <w:tc>
          <w:tcPr>
            <w:tcW w:type="dxa" w:w="734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无逻辑输出0.5分，有逻辑输出1分；按敏感词类别与局势判断。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场外与数据库</w:t>
            </w:r>
          </w:p>
        </w:tc>
        <w:tc>
          <w:tcPr>
            <w:tcW w:type="dxa" w:w="734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无逻辑输出0.5分，有逻辑输出1分；警上存在原文豁免。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划水</w:t>
            </w:r>
          </w:p>
        </w:tc>
        <w:tc>
          <w:tcPr>
            <w:tcW w:type="dxa" w:w="734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每次1分，须结合发言时长、内容要求和铁好人、明狼等例外。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贴脸 绑架 情绪 疑似暗号</w:t>
            </w:r>
          </w:p>
        </w:tc>
        <w:tc>
          <w:tcPr>
            <w:tcW w:type="dxa" w:w="734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通常每次2分，不能只凭音量高或普通动作直接认定。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不文明发言</w:t>
            </w:r>
          </w:p>
        </w:tc>
        <w:tc>
          <w:tcPr>
            <w:tcW w:type="dxa" w:w="734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轻度可警告，多次或非轻度扣1至2分；区分正常调侃与攻击。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异常行为</w:t>
            </w:r>
          </w:p>
        </w:tc>
        <w:tc>
          <w:tcPr>
            <w:tcW w:type="dxa" w:w="734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打字或发红包通常1至2分；异常离线、报信息通常2分；泄密按作弊处理。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教唆与高级擦边</w:t>
            </w:r>
          </w:p>
        </w:tc>
        <w:tc>
          <w:tcPr>
            <w:tcW w:type="dxa" w:w="734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教唆按对应违规类型处罚；高级擦边通常1至2分。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跳警下预</w:t>
            </w:r>
          </w:p>
        </w:tc>
        <w:tc>
          <w:tcPr>
            <w:tcW w:type="dxa" w:w="734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通常2分，按板子适用范围及网络误操作的重赛条款执行。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消极比赛</w:t>
            </w:r>
          </w:p>
        </w:tc>
        <w:tc>
          <w:tcPr>
            <w:tcW w:type="dxa" w:w="734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通常2至3分，须结合恶意或故意损害阵营的证据判断。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逻辑断层</w:t>
            </w:r>
          </w:p>
        </w:tc>
        <w:tc>
          <w:tcPr>
            <w:tcW w:type="dxa" w:w="734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原文仅涉及最佳评选资格，不直接新增积分处罚。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网络问题</w:t>
            </w:r>
          </w:p>
        </w:tc>
        <w:tc>
          <w:tcPr>
            <w:tcW w:type="dxa" w:w="7344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部分卡麦且有有效发言不扣分；整轮无有效发言通常1分；恶意黑麦通常2分。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作弊及严重扰乱秩序</w:t>
            </w:r>
          </w:p>
        </w:tc>
        <w:tc>
          <w:tcPr>
            <w:tcW w:type="dxa" w:w="7344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核实后可取消争奖资格、停赛等；依据和处理结论须留存。</w:t>
            </w:r>
          </w:p>
        </w:tc>
      </w:tr>
    </w:tbl>
    <w:p>
      <w:pPr>
        <w:spacing w:after="40" w:line="60" w:lineRule="exact" w:before="0"/>
        <w:snapToGrid w:val="0"/>
      </w:pPr>
    </w:p>
    <w:p>
      <w:pPr>
        <w:snapToGrid w:val="0"/>
      </w:pPr>
      <w:r>
        <w:t>同一轮发言多种违规，一般按最严重类型处理；同一实际对局普通违规扣分上限5分。特殊追加处罚、流局保留处罚和赛后处罚须分别列出事实、条款及复核结论，不能借“特殊处罚”绕开普通单局上限。</w:t>
      </w:r>
    </w:p>
    <w:p>
      <w:pPr>
        <w:snapToGrid w:val="0"/>
      </w:pPr>
      <w:r>
        <w:t>网络因素涉及禁投票、禁技能及被动技能信息限制时，按原文适用时点和例外执行，由主裁明确通知；选手按流程私聊主裁报告故障或违规属于允许的赛事沟通，不按普通群内违规发言处理。</w:t>
      </w:r>
    </w:p>
    <w:p>
      <w:pPr>
        <w:pStyle w:val="Heading1"/>
        <w:pageBreakBefore/>
        <w:snapToGrid w:val="0"/>
      </w:pPr>
      <w:r>
        <w:t>规则适配与申诉处理</w:t>
      </w:r>
    </w:p>
    <w:p>
      <w:pPr>
        <w:pStyle w:val="Heading2"/>
        <w:snapToGrid w:val="0"/>
      </w:pPr>
      <w:r>
        <w:t>采用游戏结算评分后的适配</w:t>
      </w:r>
    </w:p>
    <w:p>
      <w:pPr>
        <w:snapToGrid w:val="0"/>
      </w:pPr>
      <w:r>
        <w:t>游戏结算评分为基础分，不人工拆分或猜测其中的胜利分、最佳分。取消联赛自行评选的荣誉不自动改动游戏评分；绑票后仍以游戏最终结算评分作为基础，违规分照扣，不进行无法验证的人工截分。</w:t>
      </w:r>
    </w:p>
    <w:p>
      <w:pPr>
        <w:snapToGrid w:val="0"/>
      </w:pPr>
      <w:r>
        <w:t>原规范涉及取消胜利分、裁判改判阵营后重新计分的情况，须在赛前补充可核对的执行方法。缺少明确可复核依据时，不临场编造替代分数；是否流局、重赛或取消资格由裁判依明确条款复核处理。</w:t>
      </w:r>
    </w:p>
    <w:p>
      <w:pPr>
        <w:snapToGrid w:val="0"/>
      </w:pPr>
      <w:r>
        <w:t>单门派内部联赛不直接套用对其他门派禁赛或扣裁判工资等条款。工作人员违规采用复核、撤换执裁或取消管理职责等适用措施。预言家不起跳是否消极，须结合原文例外及是否恶意损害阵营判断，不仅凭未起跳作出处罚。</w:t>
      </w:r>
    </w:p>
    <w:p>
      <w:pPr>
        <w:pStyle w:val="Heading2"/>
        <w:snapToGrid w:val="0"/>
      </w:pPr>
      <w:r>
        <w:t>证据与回避</w:t>
      </w:r>
    </w:p>
    <w:p>
      <w:pPr>
        <w:snapToGrid w:val="0"/>
      </w:pPr>
      <w:r>
        <w:t>裁判记录周次、房间、选手、违规原话或行为、发生轮次及录像时间点、适用条款和扣分。暗号、代打及串通须结合上下文和证据核实；普通失误、声音变化、合理异议不直接认定为作弊或闹事。</w:t>
      </w:r>
    </w:p>
    <w:p>
      <w:pPr>
        <w:snapToGrid w:val="0"/>
      </w:pPr>
      <w:r>
        <w:t>当事人及有直接利益冲突的管理人员回避最终复核。主裁可以在比赛中制止明显影响秩序的行为，最终积分处罚经复核后公开说明。身份截图等证据仅向必要的工作人员及相关本人开放。</w:t>
      </w:r>
    </w:p>
    <w:p>
      <w:pPr>
        <w:pStyle w:val="Heading2"/>
        <w:snapToGrid w:val="0"/>
      </w:pPr>
      <w:r>
        <w:t>申诉流程</w:t>
      </w:r>
    </w:p>
    <w:p>
      <w:pPr>
        <w:snapToGrid w:val="0"/>
      </w:pPr>
      <w:r>
        <w:t>周日12:00前发布待确认成绩，选手原则上于周日20:00前提交成绩或普通判罚异议，附结算截图、录屏时间点和具体理由。若判罚通知较晚，应给予通知后24小时的申诉时间。未处理完的争议记录继续标注待确认，不急于写入最终榜。</w:t>
      </w:r>
    </w:p>
    <w:p>
      <w:pPr>
        <w:snapToGrid w:val="0"/>
      </w:pPr>
      <w:r>
        <w:t>作弊证据按原规范的24小时条款处理：比赛结束24小时内提供并证实的，取消该选手资格并按规则安排换陪赛人员重赛；超过24小时证实的，按规范处理违规，不因此重赛。不得仅凭未经核实的指控处罚。</w:t>
      </w:r>
    </w:p>
    <w:p>
      <w:pPr>
        <w:pStyle w:val="Heading2"/>
        <w:snapToGrid w:val="0"/>
      </w:pPr>
      <w:r>
        <w:t>流局与工作人员安排</w:t>
      </w:r>
    </w:p>
    <w:p>
      <w:pPr>
        <w:snapToGrid w:val="0"/>
      </w:pPr>
      <w:r>
        <w:t>平台故障、游戏漏洞及符合规范的严重异常，可由裁判核实录像后决定流局或补赛；一般个人网络或误操作不自动触发重赛。工作人员在赛事群公布联系人与可处理时间，选手可提交材料等待回复。</w:t>
      </w:r>
    </w:p>
    <w:p>
      <w:pPr>
        <w:snapToGrid w:val="0"/>
      </w:pPr>
      <w:r>
        <w:t>完整规范在网站报名页提供阅读入口。开赛前统一公布板子、特殊处罚适配口径和裁判名单；开赛后不追溯新增评分规则。正常申诉、规则建议与侮辱威胁应区别处理。</w:t>
      </w:r>
    </w:p>
    <w:p>
      <w:pPr>
        <w:pStyle w:val="Heading1"/>
        <w:pageBreakBefore/>
        <w:snapToGrid w:val="0"/>
      </w:pPr>
      <w:r>
        <w:t>每周执行与网站管理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7920"/>
      </w:tblGrid>
      <w:tr>
        <w:trPr>
          <w:tblHeader/>
          <w:cantSplit/>
        </w:trPr>
        <w:tc>
          <w:tcPr>
            <w:tcW w:type="dxa" w:w="2016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b/>
                <w:color w:val="FFFFFF"/>
                <w:sz w:val="21"/>
              </w:rPr>
              <w:t>时间</w:t>
            </w:r>
          </w:p>
        </w:tc>
        <w:tc>
          <w:tcPr>
            <w:tcW w:type="dxa" w:w="7920"/>
            <w:vAlign w:val="center"/>
            <w:shd w:fill="253B50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b/>
                <w:color w:val="FFFFFF"/>
                <w:sz w:val="21"/>
              </w:rPr>
              <w:t>负责人及工作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周四前</w:t>
            </w:r>
          </w:p>
        </w:tc>
        <w:tc>
          <w:tcPr>
            <w:tcW w:type="dxa" w:w="792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选手确认出席或提交请假，管理员协调尚未进行的正式周与轮休周。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周五</w:t>
            </w:r>
          </w:p>
        </w:tc>
        <w:tc>
          <w:tcPr>
            <w:tcW w:type="dxa" w:w="7920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总负责人公布分房、房主、裁判、正式选手、轮休及陪赛名单。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周六19:15</w:t>
            </w:r>
          </w:p>
        </w:tc>
        <w:tc>
          <w:tcPr>
            <w:tcW w:type="dxa" w:w="792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房主组织签到、进房和语音检查；明确陪赛人员不计游戏评分。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周六19:30</w:t>
            </w:r>
          </w:p>
        </w:tc>
        <w:tc>
          <w:tcPr>
            <w:tcW w:type="dxa" w:w="7920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按统一板子开赛；19:40仍未到者按赛前候补名单替补。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结束后30分钟内</w:t>
            </w:r>
          </w:p>
        </w:tc>
        <w:tc>
          <w:tcPr>
            <w:tcW w:type="dxa" w:w="792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房主提交结算截图，裁判提交违规记录及证据位置。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周日12:00前</w:t>
            </w:r>
          </w:p>
        </w:tc>
        <w:tc>
          <w:tcPr>
            <w:tcW w:type="dxa" w:w="7920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成绩管理员录入待确认成绩，复核人员核对评分、处罚与身份。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周日20:00前</w:t>
            </w:r>
          </w:p>
        </w:tc>
        <w:tc>
          <w:tcPr>
            <w:tcW w:type="dxa" w:w="7920"/>
            <w:vAlign w:val="center"/>
            <w:shd w:fill="F2F5F7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受理普通成绩异议；晚通知判罚给予通知后24小时申诉时间。</w:t>
            </w:r>
          </w:p>
        </w:tc>
      </w:tr>
      <w:tr>
        <w:trPr>
          <w:cantSplit/>
        </w:trPr>
        <w:tc>
          <w:tcPr>
            <w:tcW w:type="dxa" w:w="2016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jc w:val="center"/>
              <w:snapToGrid w:val="0"/>
            </w:pPr>
            <w:r>
              <w:rPr>
                <w:sz w:val="21"/>
              </w:rPr>
              <w:t>周一</w:t>
            </w:r>
          </w:p>
        </w:tc>
        <w:tc>
          <w:tcPr>
            <w:tcW w:type="dxa" w:w="7920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80" w:lineRule="exact"/>
              <w:snapToGrid w:val="0"/>
            </w:pPr>
            <w:r>
              <w:rPr>
                <w:sz w:val="21"/>
              </w:rPr>
              <w:t>发布已复核排名和简短战报，未决事项继续保留待确认状态。</w:t>
            </w:r>
          </w:p>
        </w:tc>
      </w:tr>
    </w:tbl>
    <w:p>
      <w:pPr>
        <w:spacing w:after="40" w:line="60" w:lineRule="exact" w:before="0"/>
        <w:snapToGrid w:val="0"/>
      </w:pPr>
    </w:p>
    <w:p>
      <w:pPr>
        <w:pStyle w:val="Heading2"/>
        <w:snapToGrid w:val="0"/>
      </w:pPr>
      <w:r>
        <w:t>管理员操作流程</w:t>
      </w:r>
    </w:p>
    <w:p>
      <w:pPr>
        <w:snapToGrid w:val="0"/>
      </w:pPr>
      <w:r>
        <w:t>登录管理员账号，进入“内部联赛”的管理工作台，按顺序完成报名审核、逐人8周排期、每周游戏评分录入、独立纪律扣分录入和正式发布。录入实际比赛日期、身份及胜负，上传结算截图，并填写核对说明。</w:t>
      </w:r>
    </w:p>
    <w:p>
      <w:pPr>
        <w:snapToGrid w:val="0"/>
      </w:pPr>
      <w:r>
        <w:t>报名可设置开放或关闭及截止时间。系统核验每人6场正式与2周轮休，阻止轮休录入正式游戏评分。比赛结果支持待确认、正式和作废；处罚独立管理，可记录陪赛或流局处罚。多人同时编辑时，应刷新当前版本再保存。</w:t>
      </w:r>
    </w:p>
    <w:p>
      <w:pPr>
        <w:snapToGrid w:val="0"/>
      </w:pPr>
      <w:r>
        <w:t>网站自动计算积分，不自动判断游戏胜负、识别截图分数或作出处罚。管理员须人工核对截图及规则证据。分房和请假调换仍由主办方安排，网站负责保存和展示。</w:t>
      </w:r>
    </w:p>
    <w:p>
      <w:pPr>
        <w:pStyle w:val="Heading2"/>
        <w:snapToGrid w:val="0"/>
      </w:pPr>
      <w:r>
        <w:t>赛季收尾</w:t>
      </w:r>
    </w:p>
    <w:p>
      <w:pPr>
        <w:snapToGrid w:val="0"/>
      </w:pPr>
      <w:r>
        <w:t>11月28日完成收官轮，必要时12月5日补赛。管理员逐人核验6场有效成绩、全部申诉和资格状态；从有资格选手中确定前六名，核对并列奖金。发布最终公告后锁定赛季，发放总计1,050元奖金，保存结果与修改记录。</w:t>
      </w:r>
    </w:p>
    <w:p>
      <w:pPr>
        <w:snapToGrid w:val="0"/>
      </w:pPr>
      <w:r>
        <w:t>每周可评选精彩发言、最佳配合和进步之星，用于战报和网站荣誉展示，不影响竞技积分。轮休由主办方安排且其他正式周全部出席者，可以授予赛季全勤称号。</w:t>
      </w:r>
    </w:p>
    <w:sectPr w:rsidR="00FC693F" w:rsidRPr="0006063C" w:rsidSect="00034616">
      <w:footerReference w:type="default" r:id="rId9"/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酒池肉林内部联赛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0" w:lineRule="exact"/>
      <w:snapToGrid w:val="0"/>
    </w:pPr>
    <w:rPr>
      <w:rFonts w:ascii="Microsoft YaHei" w:hAnsi="Microsoft YaHei" w:eastAsia="Microsoft YaHei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20" w:line="276" w:lineRule="auto"/>
      <w:outlineLvl w:val="0"/>
      <w:snapToGrid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i w:val="0"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  <w:snapToGrid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i w:val="0"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76" w:lineRule="auto"/>
      <w:contextualSpacing/>
      <w:snapToGrid w:val="0"/>
    </w:pPr>
    <w:rPr>
      <w:rFonts w:asciiTheme="majorHAnsi" w:eastAsiaTheme="majorEastAsia" w:hAnsiTheme="majorHAnsi" w:cstheme="majorBidi" w:ascii="Microsoft YaHei" w:hAnsi="Microsoft YaHei" w:eastAsia="Microsoft YaHei"/>
      <w:i w:val="0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76" w:lineRule="auto"/>
      <w:snapToGrid w:val="0"/>
    </w:pPr>
    <w:rPr>
      <w:rFonts w:asciiTheme="majorHAnsi" w:eastAsiaTheme="majorEastAsia" w:hAnsiTheme="majorHAnsi" w:cstheme="majorBidi" w:ascii="Microsoft YaHei" w:hAnsi="Microsoft YaHei" w:eastAsia="Microsoft YaHe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酒池肉林内部联赛第一赛季比赛方案</dc:title>
  <dc:subject/>
  <dc:creator>酒池肉林门派赛事组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